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省一流学科中期建设自评报告提纲</w:t>
      </w:r>
    </w:p>
    <w:p>
      <w:pPr>
        <w:spacing w:line="58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封面（样式附后）</w:t>
      </w: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二、正文</w:t>
      </w:r>
      <w:r>
        <w:rPr>
          <w:rFonts w:ascii="Times New Roman" w:hAnsi="Times New Roman" w:eastAsia="仿宋"/>
          <w:sz w:val="32"/>
          <w:szCs w:val="32"/>
        </w:rPr>
        <w:t>（控制在8000字以内）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建设周期内主要建设举措</w:t>
      </w:r>
    </w:p>
    <w:p>
      <w:pPr>
        <w:numPr>
          <w:ilvl w:val="0"/>
          <w:numId w:val="2"/>
        </w:numPr>
        <w:spacing w:line="580" w:lineRule="exact"/>
        <w:rPr>
          <w:rFonts w:hint="default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建设周期内学科建设成效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建设经费使用情况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存在问题与困难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下一步建设举措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主要建设指标完成情况对照表（样式附后）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标志性成果清单（样式附后）</w:t>
      </w:r>
    </w:p>
    <w:p>
      <w:pPr>
        <w:spacing w:line="58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封面样式</w:t>
      </w:r>
    </w:p>
    <w:p>
      <w:pPr>
        <w:spacing w:line="580" w:lineRule="exact"/>
        <w:jc w:val="center"/>
        <w:rPr>
          <w:rFonts w:hint="default"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浙江省一流学科中期建设自评报告</w:t>
      </w: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ind w:firstLine="960" w:firstLineChars="3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单位名称（盖章）：</w:t>
      </w:r>
    </w:p>
    <w:p>
      <w:pPr>
        <w:spacing w:line="580" w:lineRule="exact"/>
        <w:ind w:firstLine="960" w:firstLineChars="3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学科名称：</w:t>
      </w:r>
    </w:p>
    <w:p>
      <w:pPr>
        <w:spacing w:line="580" w:lineRule="exact"/>
        <w:ind w:firstLine="960" w:firstLineChars="3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学科类型：</w:t>
      </w:r>
    </w:p>
    <w:p>
      <w:pPr>
        <w:spacing w:line="580" w:lineRule="exact"/>
        <w:ind w:firstLine="960" w:firstLineChars="3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学科负责人：</w:t>
      </w: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填报时间：年    月   日</w:t>
      </w: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主要建设指标完成情况对照表样式</w:t>
      </w:r>
    </w:p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</w:p>
    <w:tbl>
      <w:tblPr>
        <w:tblStyle w:val="3"/>
        <w:tblW w:w="934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548"/>
        <w:gridCol w:w="3498"/>
        <w:gridCol w:w="1038"/>
        <w:gridCol w:w="1038"/>
        <w:gridCol w:w="1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一级指标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二级指标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具体指标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初始值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目标值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现状值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师资队伍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建设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专任教师人数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专任教师总数（人）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其中：国家级人才（人）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其中：省级人才（人）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专任教师结构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博士学位教师占比（</w:t>
            </w:r>
            <w:r>
              <w:rPr>
                <w:rFonts w:ascii="Times New Roman" w:hAnsi="Times New Roman" w:eastAsia="仿宋_GB2312"/>
                <w:kern w:val="0"/>
              </w:rPr>
              <w:t>%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45</w:t>
            </w:r>
            <w:r>
              <w:rPr>
                <w:rFonts w:ascii="Times New Roman" w:hAnsi="Times New Roman"/>
                <w:kern w:val="0"/>
              </w:rPr>
              <w:t>周岁以下青年教师占比（</w:t>
            </w:r>
            <w:r>
              <w:rPr>
                <w:rFonts w:ascii="Times New Roman" w:hAnsi="Times New Roman" w:eastAsia="仿宋_GB2312"/>
                <w:kern w:val="0"/>
              </w:rPr>
              <w:t>%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团队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省部级及以上创新团队数（个）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自设指标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人才培养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教学平台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国家教学平台（个）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省级教学平台数（个）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本科生教育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学生在核心及以上期刊（浙大标准）发表论文数（篇）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本科生读研率（</w:t>
            </w:r>
            <w:r>
              <w:rPr>
                <w:rFonts w:ascii="Times New Roman" w:hAnsi="Times New Roman" w:eastAsia="仿宋_GB2312"/>
                <w:kern w:val="0"/>
              </w:rPr>
              <w:t>%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研究生教育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研究生以第一作者在</w:t>
            </w:r>
            <w:r>
              <w:rPr>
                <w:rFonts w:ascii="Times New Roman" w:hAnsi="Times New Roman" w:eastAsia="仿宋_GB2312"/>
                <w:kern w:val="0"/>
              </w:rPr>
              <w:t>SCI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SSCI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EI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MEDLINE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 xml:space="preserve">A&amp;HCI 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CSCD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CSSCI</w:t>
            </w:r>
            <w:r>
              <w:rPr>
                <w:rFonts w:ascii="Times New Roman" w:hAnsi="Times New Roman"/>
                <w:kern w:val="0"/>
              </w:rPr>
              <w:t>收录期刊及在国内一级及以上期刊（浙大标准）发表论文数（篇）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研究生学位论文抽检优良率（</w:t>
            </w:r>
            <w:r>
              <w:rPr>
                <w:rFonts w:ascii="Times New Roman" w:hAnsi="Times New Roman" w:eastAsia="仿宋_GB2312"/>
                <w:kern w:val="0"/>
              </w:rPr>
              <w:t>%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教学成果与奖励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国家教学成果奖（项）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省级教学成果奖（项）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国家精品在线开放课程（门）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国家级规划教材（部）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省部级及以上学科竞赛奖励（项）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自设指标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科学研究与社会服务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科研平台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国家级科研创新平台数（个）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省部级科研创新平台数（个）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科研项目与经费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主持国家级科研项目数（项）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其中：重点、重大项目数（项）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主持省部级科研项目数（项）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其中：重点、重大项目数（项）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师均科研经费（万元）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科研成果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在</w:t>
            </w:r>
            <w:r>
              <w:rPr>
                <w:rFonts w:ascii="Times New Roman" w:hAnsi="Times New Roman" w:eastAsia="仿宋_GB2312"/>
                <w:kern w:val="0"/>
              </w:rPr>
              <w:t>SCI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SSCI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EI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MEDLINE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A&amp;HCI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CSCD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CSSCI</w:t>
            </w:r>
            <w:r>
              <w:rPr>
                <w:rFonts w:ascii="Times New Roman" w:hAnsi="Times New Roman"/>
                <w:kern w:val="0"/>
              </w:rPr>
              <w:t>收录期刊和一级期刊（浙大标准）及以上期刊发表论文数（篇）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其中：国内权威期刊论文数（浙大版，篇）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</w:t>
            </w:r>
            <w:r>
              <w:rPr>
                <w:rFonts w:ascii="Times New Roman" w:hAnsi="Times New Roman" w:eastAsia="仿宋_GB2312"/>
                <w:kern w:val="0"/>
              </w:rPr>
              <w:t>SCI top</w:t>
            </w:r>
            <w:r>
              <w:rPr>
                <w:rFonts w:ascii="Times New Roman" w:hAnsi="Times New Roman"/>
                <w:kern w:val="0"/>
              </w:rPr>
              <w:t>收录期刊论文数（篇）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出版著作（部）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授权发明专利（件）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成果奖励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获国家级成果奖励（项）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获省部级成果奖励（项）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其中：一等奖（项）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社会服务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横向课题到款经费（万元）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横向课题项目个数（个）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产学研平台（个）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科技成果转化收入（万元）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自设指标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学科影响力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学科排名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教育部学位中心学科评估排名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全球</w:t>
            </w:r>
            <w:r>
              <w:rPr>
                <w:rFonts w:ascii="Times New Roman" w:hAnsi="Times New Roman" w:eastAsia="仿宋_GB2312"/>
                <w:kern w:val="0"/>
              </w:rPr>
              <w:t>ESI</w:t>
            </w:r>
            <w:r>
              <w:rPr>
                <w:rFonts w:ascii="Times New Roman" w:hAnsi="Times New Roman"/>
                <w:kern w:val="0"/>
              </w:rPr>
              <w:t>学科排名前</w:t>
            </w:r>
            <w:r>
              <w:rPr>
                <w:rFonts w:ascii="Times New Roman" w:hAnsi="Times New Roman" w:eastAsia="仿宋_GB2312"/>
                <w:kern w:val="0"/>
              </w:rPr>
              <w:t>1%</w:t>
            </w:r>
            <w:r>
              <w:rPr>
                <w:rFonts w:ascii="Times New Roman" w:hAnsi="Times New Roman"/>
                <w:kern w:val="0"/>
              </w:rPr>
              <w:t>（个数）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学位点建设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一级学科博士点或博士专业学位类别数（个）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一级学科硕士点或硕士专业学位类别数（个）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专业建设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国家专业综合改革试点等</w:t>
            </w:r>
            <w:r>
              <w:rPr>
                <w:rFonts w:ascii="Times New Roman" w:hAnsi="Times New Roman" w:eastAsia="仿宋_GB2312"/>
                <w:kern w:val="0"/>
              </w:rPr>
              <w:t>“</w:t>
            </w:r>
            <w:r>
              <w:rPr>
                <w:rFonts w:ascii="Times New Roman" w:hAnsi="Times New Roman"/>
                <w:kern w:val="0"/>
              </w:rPr>
              <w:t>十二五</w:t>
            </w:r>
            <w:r>
              <w:rPr>
                <w:rFonts w:ascii="Times New Roman" w:hAnsi="Times New Roman" w:eastAsia="仿宋_GB2312"/>
                <w:kern w:val="0"/>
              </w:rPr>
              <w:t>”</w:t>
            </w:r>
            <w:r>
              <w:rPr>
                <w:rFonts w:ascii="Times New Roman" w:hAnsi="Times New Roman"/>
                <w:kern w:val="0"/>
              </w:rPr>
              <w:t>以来教育部相关专业建设项目（个）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省优势、特色专业（个）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学术兼职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在重要学术</w:t>
            </w:r>
            <w:r>
              <w:rPr>
                <w:rFonts w:ascii="Times New Roman" w:hAnsi="Times New Roman" w:eastAsia="仿宋_GB2312"/>
                <w:kern w:val="0"/>
              </w:rPr>
              <w:t>/</w:t>
            </w:r>
            <w:r>
              <w:rPr>
                <w:rFonts w:ascii="Times New Roman" w:hAnsi="Times New Roman"/>
                <w:kern w:val="0"/>
              </w:rPr>
              <w:t>行业组织担任重要职务的人数（人）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自设指标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国际合作与交流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师资国际化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3</w:t>
            </w:r>
            <w:r>
              <w:rPr>
                <w:rFonts w:ascii="Times New Roman" w:hAnsi="Times New Roman"/>
                <w:kern w:val="0"/>
              </w:rPr>
              <w:t>个月及以上出国（境）访学（研修）教师占比（</w:t>
            </w:r>
            <w:r>
              <w:rPr>
                <w:rFonts w:ascii="Times New Roman" w:hAnsi="Times New Roman" w:eastAsia="仿宋_GB2312"/>
                <w:kern w:val="0"/>
              </w:rPr>
              <w:t>%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</w:t>
            </w:r>
            <w:r>
              <w:rPr>
                <w:rFonts w:ascii="Times New Roman" w:hAnsi="Times New Roman" w:eastAsia="仿宋_GB2312"/>
                <w:kern w:val="0"/>
              </w:rPr>
              <w:t>6</w:t>
            </w:r>
            <w:r>
              <w:rPr>
                <w:rFonts w:ascii="Times New Roman" w:hAnsi="Times New Roman"/>
                <w:kern w:val="0"/>
              </w:rPr>
              <w:t>个月及以上占比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</w:t>
            </w:r>
            <w:r>
              <w:rPr>
                <w:rFonts w:ascii="Times New Roman" w:hAnsi="Times New Roman" w:eastAsia="仿宋_GB2312"/>
                <w:kern w:val="0"/>
              </w:rPr>
              <w:t>1</w:t>
            </w:r>
            <w:r>
              <w:rPr>
                <w:rFonts w:ascii="Times New Roman" w:hAnsi="Times New Roman"/>
                <w:kern w:val="0"/>
              </w:rPr>
              <w:t>年及以上占比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聘请外国专家人数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人才培养国际化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出国（境）交流（</w:t>
            </w:r>
            <w:r>
              <w:rPr>
                <w:rFonts w:ascii="Times New Roman" w:hAnsi="Times New Roman" w:eastAsia="仿宋_GB2312"/>
                <w:kern w:val="0"/>
              </w:rPr>
              <w:t>3</w:t>
            </w:r>
            <w:r>
              <w:rPr>
                <w:rFonts w:ascii="Times New Roman" w:hAnsi="Times New Roman"/>
                <w:kern w:val="0"/>
              </w:rPr>
              <w:t>个月及以上）学生占比（</w:t>
            </w:r>
            <w:r>
              <w:rPr>
                <w:rFonts w:ascii="Times New Roman" w:hAnsi="Times New Roman" w:eastAsia="仿宋_GB2312"/>
                <w:kern w:val="0"/>
              </w:rPr>
              <w:t>%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学历留学生数（人）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国际交流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国际科研合作项目数（个）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国际科研合作平台数（个）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主办国际学术会议（次）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参加国际学术会议人次（次）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自设指标</w:t>
            </w:r>
          </w:p>
        </w:tc>
        <w:tc>
          <w:tcPr>
            <w:tcW w:w="3498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备注：</w:t>
      </w:r>
    </w:p>
    <w:p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时点性数据的初始值、目标值和现状值分别为2015年末、2020年末和2018年末的数据，时段性数据的初始值、目标值和现状值数据统计时段分别为2011-2015年、2016-2020年和2016-2018年。</w:t>
      </w:r>
    </w:p>
    <w:p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初始值、目标值应与学科建设任务书一致；现状值应与学科信息平台数据保持一致。</w:t>
      </w:r>
    </w:p>
    <w:p>
      <w:pPr>
        <w:widowControl/>
        <w:adjustRightInd w:val="0"/>
        <w:snapToGrid w:val="0"/>
        <w:jc w:val="left"/>
        <w:rPr>
          <w:rFonts w:ascii="Times New Roman" w:hAnsi="Times New Roman"/>
          <w:kern w:val="0"/>
        </w:rPr>
      </w:pPr>
    </w:p>
    <w:p>
      <w:pPr>
        <w:widowControl/>
        <w:adjustRightInd w:val="0"/>
        <w:snapToGrid w:val="0"/>
        <w:jc w:val="left"/>
        <w:rPr>
          <w:rFonts w:ascii="Times New Roman" w:hAnsi="Times New Roman"/>
          <w:kern w:val="0"/>
        </w:rPr>
      </w:pPr>
    </w:p>
    <w:p>
      <w:pPr>
        <w:widowControl/>
        <w:adjustRightInd w:val="0"/>
        <w:snapToGrid w:val="0"/>
        <w:jc w:val="left"/>
        <w:rPr>
          <w:rFonts w:ascii="Times New Roman" w:hAnsi="Times New Roman"/>
          <w:kern w:val="0"/>
        </w:rPr>
      </w:pPr>
    </w:p>
    <w:p>
      <w:pPr>
        <w:widowControl/>
        <w:adjustRightInd w:val="0"/>
        <w:snapToGrid w:val="0"/>
        <w:jc w:val="left"/>
        <w:rPr>
          <w:rFonts w:ascii="Times New Roman" w:hAnsi="Times New Roman"/>
          <w:kern w:val="0"/>
        </w:rPr>
      </w:pPr>
    </w:p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标志性成果清单样式</w:t>
      </w: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1.国家级人才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43"/>
        <w:gridCol w:w="744"/>
        <w:gridCol w:w="1234"/>
        <w:gridCol w:w="1357"/>
        <w:gridCol w:w="1724"/>
        <w:gridCol w:w="1234"/>
        <w:gridCol w:w="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学位/学历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专业技术职务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人才类别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</w:tbl>
    <w:p>
      <w:pPr>
        <w:spacing w:line="58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注：备注栏中请注明自主培养或建设周期内引进。</w:t>
      </w: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2.省部级人才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43"/>
        <w:gridCol w:w="744"/>
        <w:gridCol w:w="1234"/>
        <w:gridCol w:w="1357"/>
        <w:gridCol w:w="1724"/>
        <w:gridCol w:w="1234"/>
        <w:gridCol w:w="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学位/学历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专业技术职务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人才类别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</w:tbl>
    <w:p>
      <w:pPr>
        <w:spacing w:line="58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注：备注栏中请注明自主培养或建设周期内引进。</w:t>
      </w: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3.建设周期内立项的国家级重点重大项目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53"/>
        <w:gridCol w:w="1353"/>
        <w:gridCol w:w="1623"/>
        <w:gridCol w:w="2025"/>
        <w:gridCol w:w="13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立项时间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项目来源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项目主持人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项目名称/编号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注：项目等级填写国家重点、国家重大。</w:t>
      </w: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4.国家级教学科研平台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954"/>
        <w:gridCol w:w="2131"/>
        <w:gridCol w:w="21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平台名称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批准部门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批准时间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95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95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5.省部级教学科研平台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954"/>
        <w:gridCol w:w="2131"/>
        <w:gridCol w:w="21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平台名称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批准部门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批准时间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6.建设周期内获得的国家级教学成果奖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608"/>
        <w:gridCol w:w="1609"/>
        <w:gridCol w:w="1609"/>
        <w:gridCol w:w="2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成果名称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批准部门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获得时间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本学科成员/排序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7.建设周期内获得的省部级教学成果奖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608"/>
        <w:gridCol w:w="1609"/>
        <w:gridCol w:w="1609"/>
        <w:gridCol w:w="2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成果名称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批准部门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获得时间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本学科成员/排序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8.建设周期内获得的国家级科研成果奖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608"/>
        <w:gridCol w:w="1609"/>
        <w:gridCol w:w="1609"/>
        <w:gridCol w:w="2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成果名称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批准部门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获得时间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本学科成员/排序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9.建设周期内获得的省部级科研成果奖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608"/>
        <w:gridCol w:w="1609"/>
        <w:gridCol w:w="1609"/>
        <w:gridCol w:w="2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成果名称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批准部门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获得时间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本学科成员/排序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备注：上述清单应与学科建设信息平台内数据保持一致。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958C0"/>
    <w:multiLevelType w:val="singleLevel"/>
    <w:tmpl w:val="A17958C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87757BE"/>
    <w:multiLevelType w:val="singleLevel"/>
    <w:tmpl w:val="287757B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83D2DFE"/>
    <w:multiLevelType w:val="multilevel"/>
    <w:tmpl w:val="383D2DF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BC9434"/>
    <w:multiLevelType w:val="singleLevel"/>
    <w:tmpl w:val="61BC94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8283E"/>
    <w:rsid w:val="3D5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2018-12-10T03:42:00Z</dcterms:created>
  <dc:creator>Administrator</dc:creator>
  <cp:lastModifiedBy>Administrator</cp:lastModifiedBy>
  <dcterms:modified xsi:type="dcterms:W3CDTF">2018-12-10T04:44:45Z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